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072"/>
      </w:tblGrid>
      <w:tr w:rsidR="00D22CAB">
        <w:trPr>
          <w:cantSplit/>
        </w:trPr>
        <w:tc>
          <w:tcPr>
            <w:tcW w:w="9072" w:type="dxa"/>
          </w:tcPr>
          <w:p w:rsidR="00D22CAB" w:rsidRDefault="0000021B">
            <w:pPr>
              <w:pStyle w:val="Heading1"/>
              <w:spacing w:before="120" w:after="120"/>
              <w:rPr>
                <w:sz w:val="28"/>
              </w:rPr>
            </w:pPr>
            <w:r>
              <w:rPr>
                <w:sz w:val="28"/>
              </w:rPr>
              <w:t xml:space="preserve">North Carolina Department of Transportation-Right of Way </w:t>
            </w:r>
            <w:r w:rsidR="00571346">
              <w:rPr>
                <w:sz w:val="28"/>
              </w:rPr>
              <w:t>Unit</w:t>
            </w:r>
          </w:p>
          <w:p w:rsidR="00D22CAB" w:rsidRDefault="0000021B">
            <w:pPr>
              <w:pStyle w:val="Heading2"/>
            </w:pPr>
            <w:r>
              <w:t>Preamble</w:t>
            </w:r>
          </w:p>
        </w:tc>
      </w:tr>
    </w:tbl>
    <w:p w:rsidR="00D22CAB" w:rsidRDefault="0000021B">
      <w:pPr>
        <w:spacing w:before="720"/>
        <w:ind w:left="576" w:hanging="576"/>
        <w:jc w:val="both"/>
        <w:rPr>
          <w:rFonts w:ascii="Arial" w:hAnsi="Arial"/>
          <w:b/>
          <w:sz w:val="26"/>
        </w:rPr>
      </w:pPr>
      <w:r>
        <w:rPr>
          <w:rFonts w:ascii="Arial" w:hAnsi="Arial"/>
          <w:b/>
          <w:sz w:val="26"/>
        </w:rPr>
        <w:t>A.</w:t>
      </w:r>
      <w:r>
        <w:rPr>
          <w:rFonts w:ascii="Arial" w:hAnsi="Arial"/>
          <w:b/>
          <w:sz w:val="26"/>
        </w:rPr>
        <w:tab/>
        <w:t>Objective of Appraisal and Purpose of Report</w:t>
      </w:r>
      <w:bookmarkStart w:id="0" w:name="_GoBack"/>
      <w:bookmarkEnd w:id="0"/>
    </w:p>
    <w:p w:rsidR="00D22CAB" w:rsidRDefault="0000021B">
      <w:pPr>
        <w:spacing w:before="240" w:after="240"/>
        <w:ind w:left="576"/>
        <w:jc w:val="both"/>
        <w:rPr>
          <w:rFonts w:ascii="Arial" w:hAnsi="Arial"/>
          <w:sz w:val="24"/>
        </w:rPr>
      </w:pPr>
      <w:r>
        <w:rPr>
          <w:rFonts w:ascii="Arial" w:hAnsi="Arial"/>
          <w:sz w:val="24"/>
        </w:rPr>
        <w:t>The objective of this appraisal is to estimate the market value of the subject property.  The purpose of this report is to present data and analyses which support the opinion of market value.</w:t>
      </w:r>
    </w:p>
    <w:p w:rsidR="00D22CAB" w:rsidRDefault="0000021B">
      <w:pPr>
        <w:spacing w:after="240"/>
        <w:ind w:left="576" w:hanging="576"/>
        <w:jc w:val="both"/>
        <w:rPr>
          <w:rFonts w:ascii="Arial" w:hAnsi="Arial"/>
          <w:b/>
          <w:sz w:val="26"/>
        </w:rPr>
      </w:pPr>
      <w:r>
        <w:rPr>
          <w:rFonts w:ascii="Arial" w:hAnsi="Arial"/>
          <w:b/>
          <w:sz w:val="26"/>
        </w:rPr>
        <w:t>B.</w:t>
      </w:r>
      <w:r>
        <w:rPr>
          <w:rFonts w:ascii="Arial" w:hAnsi="Arial"/>
          <w:b/>
          <w:sz w:val="26"/>
        </w:rPr>
        <w:tab/>
        <w:t>Definition of Market Value</w:t>
      </w:r>
    </w:p>
    <w:p w:rsidR="00D22CAB" w:rsidRDefault="0000021B">
      <w:pPr>
        <w:spacing w:after="240"/>
        <w:ind w:left="576"/>
        <w:jc w:val="both"/>
        <w:rPr>
          <w:rFonts w:ascii="Arial" w:hAnsi="Arial"/>
          <w:sz w:val="24"/>
        </w:rPr>
      </w:pPr>
      <w:r>
        <w:rPr>
          <w:rFonts w:ascii="Arial" w:hAnsi="Arial"/>
          <w:sz w:val="24"/>
        </w:rPr>
        <w:t xml:space="preserve">As defined in </w:t>
      </w:r>
      <w:r>
        <w:rPr>
          <w:rFonts w:ascii="Arial" w:hAnsi="Arial"/>
          <w:sz w:val="24"/>
          <w:u w:val="single"/>
        </w:rPr>
        <w:t>The Appraisal of Real Estate</w:t>
      </w:r>
      <w:r>
        <w:rPr>
          <w:rFonts w:ascii="Arial" w:hAnsi="Arial"/>
          <w:sz w:val="24"/>
        </w:rPr>
        <w:t xml:space="preserve">, 12th Edition, </w:t>
      </w:r>
      <w:r>
        <w:rPr>
          <w:rFonts w:ascii="Arial" w:hAnsi="Arial"/>
          <w:b/>
          <w:sz w:val="24"/>
        </w:rPr>
        <w:t>“MARKET VALUE is the most probable price, as of a specified date, in cash or in terms equivalent to cash, or in other precisely revealed terms, for which the specified property rights should sell after reasonable exposure in a competitive market under all conditions requisite to a “Fair Sale”, with the Buyer and Seller each acting prudently, knowledgeable, and for self-interest, and assuming that neither is under undue stimuli.”</w:t>
      </w:r>
    </w:p>
    <w:p w:rsidR="00D22CAB" w:rsidRDefault="0000021B">
      <w:pPr>
        <w:spacing w:after="240"/>
        <w:ind w:left="576" w:hanging="576"/>
        <w:jc w:val="both"/>
        <w:rPr>
          <w:rFonts w:ascii="Arial" w:hAnsi="Arial"/>
          <w:b/>
          <w:sz w:val="26"/>
        </w:rPr>
      </w:pPr>
      <w:r>
        <w:rPr>
          <w:rFonts w:ascii="Arial" w:hAnsi="Arial"/>
          <w:b/>
          <w:sz w:val="26"/>
        </w:rPr>
        <w:t>C.</w:t>
      </w:r>
      <w:r>
        <w:rPr>
          <w:rFonts w:ascii="Arial" w:hAnsi="Arial"/>
          <w:b/>
          <w:sz w:val="26"/>
        </w:rPr>
        <w:tab/>
        <w:t>Scope of Appraisal</w:t>
      </w:r>
    </w:p>
    <w:p w:rsidR="00D22CAB" w:rsidRDefault="0000021B">
      <w:pPr>
        <w:spacing w:after="240"/>
        <w:ind w:left="576"/>
        <w:jc w:val="both"/>
        <w:rPr>
          <w:rFonts w:ascii="Arial" w:hAnsi="Arial"/>
          <w:sz w:val="24"/>
        </w:rPr>
      </w:pPr>
      <w:r>
        <w:rPr>
          <w:rFonts w:ascii="Arial" w:hAnsi="Arial"/>
          <w:sz w:val="24"/>
        </w:rPr>
        <w:t>The scope of this appraisal involves an inspection of the subject property and general area, research into the market for sales and other comparable information, analysis of the findings, and a report of the findings in a narrative format.</w:t>
      </w:r>
    </w:p>
    <w:p w:rsidR="00D22CAB" w:rsidRDefault="0000021B">
      <w:pPr>
        <w:spacing w:after="240"/>
        <w:ind w:left="576" w:hanging="576"/>
        <w:jc w:val="both"/>
        <w:rPr>
          <w:rFonts w:ascii="Arial" w:hAnsi="Arial"/>
          <w:b/>
          <w:sz w:val="26"/>
        </w:rPr>
      </w:pPr>
      <w:r>
        <w:rPr>
          <w:rFonts w:ascii="Arial" w:hAnsi="Arial"/>
          <w:b/>
          <w:sz w:val="26"/>
        </w:rPr>
        <w:t>D.</w:t>
      </w:r>
      <w:r>
        <w:rPr>
          <w:rFonts w:ascii="Arial" w:hAnsi="Arial"/>
          <w:b/>
          <w:sz w:val="26"/>
        </w:rPr>
        <w:tab/>
        <w:t>Hazardous Material Statement</w:t>
      </w:r>
    </w:p>
    <w:p w:rsidR="00D22CAB" w:rsidRDefault="0000021B">
      <w:pPr>
        <w:spacing w:after="240"/>
        <w:ind w:left="576"/>
        <w:jc w:val="both"/>
        <w:rPr>
          <w:rFonts w:ascii="Arial" w:hAnsi="Arial"/>
          <w:sz w:val="24"/>
        </w:rPr>
      </w:pPr>
      <w:r>
        <w:rPr>
          <w:rFonts w:ascii="Arial" w:hAnsi="Arial"/>
          <w:sz w:val="24"/>
        </w:rPr>
        <w:t xml:space="preserve">Unless otherwise stated in this report, the existence of hazardous material and/or contamination which may or may not be present on the </w:t>
      </w:r>
      <w:proofErr w:type="gramStart"/>
      <w:r>
        <w:rPr>
          <w:rFonts w:ascii="Arial" w:hAnsi="Arial"/>
          <w:sz w:val="24"/>
        </w:rPr>
        <w:t>property,</w:t>
      </w:r>
      <w:proofErr w:type="gramEnd"/>
      <w:r>
        <w:rPr>
          <w:rFonts w:ascii="Arial" w:hAnsi="Arial"/>
          <w:sz w:val="24"/>
        </w:rPr>
        <w:t xml:space="preserve"> was not observed by the appraiser.  The appraiser has no knowledge of the existence of such materials on or in the property.  The appraiser, however, is not qualified to detect such substances.  The presence of substances such as asbestos, urea-formaldehyde foam </w:t>
      </w:r>
      <w:proofErr w:type="gramStart"/>
      <w:r>
        <w:rPr>
          <w:rFonts w:ascii="Arial" w:hAnsi="Arial"/>
          <w:sz w:val="24"/>
        </w:rPr>
        <w:t>insulation,</w:t>
      </w:r>
      <w:proofErr w:type="gramEnd"/>
      <w:r>
        <w:rPr>
          <w:rFonts w:ascii="Arial" w:hAnsi="Arial"/>
          <w:sz w:val="24"/>
        </w:rPr>
        <w:t xml:space="preserve"> or other potentially hazardous materials may affect the value of the property.  The value estimate is predicated on the assumption that there is no such material on or in the property that would cause a loss in value.  No responsibility is assumed for any such conditions, or for any expertise or engineering knowledge required to discover them.  The client/property owner is urged to retain an expert in this field, if desired.  That is, the subject property is appraised </w:t>
      </w:r>
      <w:r>
        <w:rPr>
          <w:rFonts w:ascii="Arial" w:hAnsi="Arial"/>
          <w:b/>
          <w:sz w:val="24"/>
        </w:rPr>
        <w:t>"as clean"</w:t>
      </w:r>
      <w:r>
        <w:rPr>
          <w:rFonts w:ascii="Arial" w:hAnsi="Arial"/>
          <w:sz w:val="24"/>
        </w:rPr>
        <w:t>.</w:t>
      </w:r>
    </w:p>
    <w:p w:rsidR="00D22CAB" w:rsidRDefault="0000021B">
      <w:pPr>
        <w:spacing w:after="240"/>
        <w:ind w:left="576" w:hanging="576"/>
        <w:jc w:val="both"/>
        <w:rPr>
          <w:rFonts w:ascii="Arial" w:hAnsi="Arial"/>
          <w:b/>
          <w:sz w:val="26"/>
        </w:rPr>
      </w:pPr>
      <w:r>
        <w:rPr>
          <w:rFonts w:ascii="Arial" w:hAnsi="Arial"/>
          <w:b/>
          <w:sz w:val="26"/>
        </w:rPr>
        <w:t>E.</w:t>
      </w:r>
      <w:r>
        <w:rPr>
          <w:rFonts w:ascii="Arial" w:hAnsi="Arial"/>
          <w:b/>
          <w:sz w:val="26"/>
        </w:rPr>
        <w:tab/>
        <w:t>Americans with Disabilities Act</w:t>
      </w:r>
    </w:p>
    <w:p w:rsidR="00D22CAB" w:rsidRDefault="0000021B">
      <w:pPr>
        <w:spacing w:after="240"/>
        <w:ind w:left="576"/>
        <w:jc w:val="both"/>
        <w:rPr>
          <w:rFonts w:ascii="Arial" w:hAnsi="Arial"/>
          <w:sz w:val="24"/>
        </w:rPr>
      </w:pPr>
      <w:r>
        <w:rPr>
          <w:rFonts w:ascii="Arial" w:hAnsi="Arial"/>
          <w:sz w:val="24"/>
        </w:rPr>
        <w:t xml:space="preserve">The appraiser has not made a specific compliance survey and analysis of the subject parcel to determine whether or not it is in conformity with the various detailed requirements of the </w:t>
      </w:r>
      <w:r>
        <w:rPr>
          <w:rFonts w:ascii="Arial" w:hAnsi="Arial"/>
          <w:b/>
          <w:sz w:val="24"/>
        </w:rPr>
        <w:t>American with Disabilities Act ("ADA")</w:t>
      </w:r>
      <w:r>
        <w:rPr>
          <w:rFonts w:ascii="Arial" w:hAnsi="Arial"/>
          <w:sz w:val="24"/>
        </w:rPr>
        <w:t xml:space="preserve">.  It is possible that a compliance survey of the property together with a detailed analysis of the requirements of the </w:t>
      </w:r>
      <w:r>
        <w:rPr>
          <w:rFonts w:ascii="Arial" w:hAnsi="Arial"/>
          <w:b/>
          <w:sz w:val="24"/>
        </w:rPr>
        <w:t>ADA</w:t>
      </w:r>
      <w:r>
        <w:rPr>
          <w:rFonts w:ascii="Arial" w:hAnsi="Arial"/>
          <w:sz w:val="24"/>
        </w:rPr>
        <w:t xml:space="preserve"> could reveal that the subject parcel is not in compliance with one or more </w:t>
      </w:r>
      <w:proofErr w:type="gramStart"/>
      <w:r>
        <w:rPr>
          <w:rFonts w:ascii="Arial" w:hAnsi="Arial"/>
          <w:sz w:val="24"/>
        </w:rPr>
        <w:t>of  the</w:t>
      </w:r>
      <w:proofErr w:type="gramEnd"/>
      <w:r>
        <w:rPr>
          <w:rFonts w:ascii="Arial" w:hAnsi="Arial"/>
          <w:sz w:val="24"/>
        </w:rPr>
        <w:t xml:space="preserve"> requirements of the Act.  If so, this fact could have a negative affect upon the value of the property.  Since the appraiser has no direct evidence relating to this issue, the appraiser did not consider possible non-compliance with the requirements of </w:t>
      </w:r>
      <w:r>
        <w:rPr>
          <w:rFonts w:ascii="Arial" w:hAnsi="Arial"/>
          <w:b/>
          <w:sz w:val="24"/>
        </w:rPr>
        <w:t>ADA</w:t>
      </w:r>
      <w:r>
        <w:rPr>
          <w:rFonts w:ascii="Arial" w:hAnsi="Arial"/>
          <w:sz w:val="24"/>
        </w:rPr>
        <w:t xml:space="preserve"> in estimating the value of the subject.</w:t>
      </w:r>
    </w:p>
    <w:sectPr w:rsidR="00D22CAB">
      <w:footerReference w:type="first" r:id="rId7"/>
      <w:footnotePr>
        <w:numRestart w:val="eachSect"/>
      </w:footnotePr>
      <w:pgSz w:w="12240" w:h="15840"/>
      <w:pgMar w:top="864" w:right="1440" w:bottom="965"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CAB" w:rsidRDefault="0000021B">
      <w:pPr>
        <w:spacing w:line="240" w:lineRule="auto"/>
      </w:pPr>
      <w:r>
        <w:separator/>
      </w:r>
    </w:p>
  </w:endnote>
  <w:endnote w:type="continuationSeparator" w:id="0">
    <w:p w:rsidR="00D22CAB" w:rsidRDefault="000002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CAB" w:rsidRDefault="0000021B">
    <w:pPr>
      <w:pStyle w:val="Header"/>
      <w:tabs>
        <w:tab w:val="clear" w:pos="4320"/>
        <w:tab w:val="clear" w:pos="8640"/>
      </w:tabs>
      <w:rPr>
        <w:rFonts w:ascii="Arial" w:hAnsi="Arial"/>
      </w:rPr>
    </w:pPr>
    <w:r>
      <w:rPr>
        <w:rFonts w:ascii="Arial" w:hAnsi="Arial"/>
      </w:rPr>
      <w:t>FRM5-I</w:t>
    </w:r>
  </w:p>
  <w:p w:rsidR="00D22CAB" w:rsidRDefault="0000021B">
    <w:pPr>
      <w:rPr>
        <w:rFonts w:ascii="Arial" w:hAnsi="Arial"/>
      </w:rPr>
    </w:pPr>
    <w:r>
      <w:rPr>
        <w:rFonts w:ascii="Arial" w:hAnsi="Arial"/>
      </w:rPr>
      <w:t>Revised: 1/08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CAB" w:rsidRDefault="0000021B">
      <w:pPr>
        <w:spacing w:line="240" w:lineRule="auto"/>
      </w:pPr>
      <w:r>
        <w:separator/>
      </w:r>
    </w:p>
  </w:footnote>
  <w:footnote w:type="continuationSeparator" w:id="0">
    <w:p w:rsidR="00D22CAB" w:rsidRDefault="000002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hideSpellingErrors/>
  <w:hideGrammaticalErrors/>
  <w:proofState w:spelling="clean" w:grammar="clean"/>
  <w:documentProtection w:edit="forms" w:enforcement="0"/>
  <w:defaultTabStop w:val="576"/>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1B"/>
    <w:rsid w:val="0000021B"/>
    <w:rsid w:val="00571346"/>
    <w:rsid w:val="00D2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Courier" w:hAnsi="Courier"/>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spacing w:line="360" w:lineRule="atLeas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Courier" w:hAnsi="Courier"/>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spacing w:line="360" w:lineRule="atLeas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hapter xmlns="5cd8a550-174b-4805-9438-80706755efba">05 Appraisal</Chapter>
    <_dlc_DocId xmlns="16f00c2e-ac5c-418b-9f13-a0771dbd417d">CONNECT-797038155-289</_dlc_DocId>
    <_dlc_DocIdUrl xmlns="16f00c2e-ac5c-418b-9f13-a0771dbd417d">
      <Url>https://connect.ncdot.gov/business/ROW/_layouts/15/DocIdRedir.aspx?ID=CONNECT-797038155-289</Url>
      <Description>CONNECT-797038155-289</Description>
    </_dlc_DocIdUrl>
    <Form_x0020__x0023_ xmlns="5cd8a550-174b-4805-9438-80706755efba">Preamble to Appraisal</Form_x0020__x0023_>
    <Order0 xmlns="5cd8a550-174b-4805-9438-80706755efba">5.11</Order0>
    <URL xmlns="http://schemas.microsoft.com/sharepoint/v3">
      <Url xsi:nil="true"/>
      <Description xsi:nil="true"/>
    </URL>
    <Section xmlns="5cd8a550-174b-4805-9438-80706755efb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23" ma:contentTypeDescription="Create a new document." ma:contentTypeScope="" ma:versionID="34daade96a24a7609416a6afba629bb8">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40825-0DC3-4C44-A60E-57C6A91F88F7}"/>
</file>

<file path=customXml/itemProps2.xml><?xml version="1.0" encoding="utf-8"?>
<ds:datastoreItem xmlns:ds="http://schemas.openxmlformats.org/officeDocument/2006/customXml" ds:itemID="{DB90BF76-4F04-4EB5-8F4C-93D2C6C7981F}"/>
</file>

<file path=customXml/itemProps3.xml><?xml version="1.0" encoding="utf-8"?>
<ds:datastoreItem xmlns:ds="http://schemas.openxmlformats.org/officeDocument/2006/customXml" ds:itemID="{D8F9A87E-06DB-4174-8F66-B4C3F73384A4}"/>
</file>

<file path=customXml/itemProps4.xml><?xml version="1.0" encoding="utf-8"?>
<ds:datastoreItem xmlns:ds="http://schemas.openxmlformats.org/officeDocument/2006/customXml" ds:itemID="{8CAF7AC9-1D97-4FCE-85F5-7C372F16E772}"/>
</file>

<file path=customXml/itemProps5.xml><?xml version="1.0" encoding="utf-8"?>
<ds:datastoreItem xmlns:ds="http://schemas.openxmlformats.org/officeDocument/2006/customXml" ds:itemID="{4518AEF3-32AB-4F49-9E58-59B40425A3A5}"/>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Preamble</vt:lpstr>
    </vt:vector>
  </TitlesOfParts>
  <Company>NCDOT</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Preamble</dc:title>
  <dc:subject/>
  <dc:creator>William Kenneth Land, Jr.</dc:creator>
  <cp:keywords/>
  <cp:lastModifiedBy>Morris, Grady R</cp:lastModifiedBy>
  <cp:revision>3</cp:revision>
  <cp:lastPrinted>2004-02-17T20:49:00Z</cp:lastPrinted>
  <dcterms:created xsi:type="dcterms:W3CDTF">2010-11-15T20:43:00Z</dcterms:created>
  <dcterms:modified xsi:type="dcterms:W3CDTF">2013-01-29T14:16:00Z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0x010100A7BFA22B257F1C46A4B1CB3A6CAD9826</vt:lpwstr>
  </property>
  <property fmtid="{D5CDD505-2E9C-101B-9397-08002B2CF9AE}" pid="3" name="_dlc_DocIdItemGuid">
    <vt:lpwstr>a236d51c-dba7-469e-9676-bf4ee504068e</vt:lpwstr>
  </property>
  <property fmtid="{D5CDD505-2E9C-101B-9397-08002B2CF9AE}" pid="4" name="Order">
    <vt:r8>28900</vt:r8>
  </property>
</Properties>
</file>